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DFE3" w14:textId="77777777" w:rsidR="00FD657A" w:rsidRDefault="0092722D" w:rsidP="003E0C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Onemocnění nebo zdravotní obtíže pro účely stanovení podmínek zdravotní způsobilosti uchazeče ke vzdělávání</w:t>
      </w:r>
    </w:p>
    <w:p w14:paraId="795CFDD9" w14:textId="224F93EA" w:rsidR="00FD657A" w:rsidRDefault="00FD6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1"/>
          <w:szCs w:val="21"/>
        </w:rPr>
      </w:pPr>
    </w:p>
    <w:p w14:paraId="0030C466" w14:textId="4846F776" w:rsidR="00F36632" w:rsidRDefault="00F366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1"/>
          <w:szCs w:val="21"/>
        </w:rPr>
      </w:pPr>
      <w:r w:rsidRPr="00F36632">
        <w:rPr>
          <w:b/>
          <w:color w:val="000000"/>
          <w:sz w:val="21"/>
          <w:szCs w:val="21"/>
        </w:rPr>
        <w:t xml:space="preserve">LÉKAŘSKÝ POSUDEK O </w:t>
      </w:r>
      <w:proofErr w:type="gramStart"/>
      <w:r w:rsidRPr="00F36632">
        <w:rPr>
          <w:b/>
          <w:color w:val="000000"/>
          <w:sz w:val="21"/>
          <w:szCs w:val="21"/>
        </w:rPr>
        <w:t xml:space="preserve">ZDRAVOTNÍ </w:t>
      </w:r>
      <w:r w:rsidR="008D6550">
        <w:rPr>
          <w:b/>
          <w:color w:val="000000"/>
          <w:sz w:val="21"/>
          <w:szCs w:val="21"/>
        </w:rPr>
        <w:t xml:space="preserve"> </w:t>
      </w:r>
      <w:r w:rsidRPr="00F36632">
        <w:rPr>
          <w:b/>
          <w:color w:val="000000"/>
          <w:sz w:val="21"/>
          <w:szCs w:val="21"/>
        </w:rPr>
        <w:t>ZPŮSOBILOSTI</w:t>
      </w:r>
      <w:proofErr w:type="gramEnd"/>
      <w:r w:rsidRPr="00F36632">
        <w:rPr>
          <w:b/>
          <w:color w:val="000000"/>
          <w:sz w:val="21"/>
          <w:szCs w:val="21"/>
        </w:rPr>
        <w:t xml:space="preserve"> </w:t>
      </w:r>
      <w:r w:rsidR="008D6550">
        <w:rPr>
          <w:b/>
          <w:color w:val="000000"/>
          <w:sz w:val="21"/>
          <w:szCs w:val="21"/>
        </w:rPr>
        <w:t xml:space="preserve"> </w:t>
      </w:r>
      <w:r w:rsidRPr="00F36632">
        <w:rPr>
          <w:b/>
          <w:color w:val="000000"/>
          <w:sz w:val="21"/>
          <w:szCs w:val="21"/>
        </w:rPr>
        <w:t>KE VZDĚLÁVÁNÍ</w:t>
      </w:r>
    </w:p>
    <w:tbl>
      <w:tblPr>
        <w:tblStyle w:val="a8"/>
        <w:tblW w:w="9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417"/>
        <w:gridCol w:w="1881"/>
        <w:gridCol w:w="1882"/>
        <w:gridCol w:w="2278"/>
      </w:tblGrid>
      <w:tr w:rsidR="00FD657A" w14:paraId="1098FF89" w14:textId="77777777">
        <w:trPr>
          <w:trHeight w:val="296"/>
        </w:trPr>
        <w:tc>
          <w:tcPr>
            <w:tcW w:w="1384" w:type="dxa"/>
            <w:vMerge w:val="restart"/>
            <w:vAlign w:val="center"/>
          </w:tcPr>
          <w:p w14:paraId="7F836DBB" w14:textId="77777777" w:rsidR="00FD657A" w:rsidRDefault="009272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Kód oboru</w:t>
            </w:r>
          </w:p>
        </w:tc>
        <w:tc>
          <w:tcPr>
            <w:tcW w:w="2417" w:type="dxa"/>
            <w:vMerge w:val="restart"/>
            <w:vAlign w:val="center"/>
          </w:tcPr>
          <w:p w14:paraId="7015A188" w14:textId="77777777" w:rsidR="00FD657A" w:rsidRDefault="009272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Název oboru</w:t>
            </w:r>
          </w:p>
        </w:tc>
        <w:tc>
          <w:tcPr>
            <w:tcW w:w="3763" w:type="dxa"/>
            <w:gridSpan w:val="2"/>
            <w:vAlign w:val="center"/>
          </w:tcPr>
          <w:p w14:paraId="08E2CF54" w14:textId="77777777" w:rsidR="00FD657A" w:rsidRDefault="009272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Počet žáků ve skupině</w:t>
            </w:r>
          </w:p>
        </w:tc>
        <w:tc>
          <w:tcPr>
            <w:tcW w:w="2278" w:type="dxa"/>
            <w:vMerge w:val="restart"/>
            <w:vAlign w:val="center"/>
          </w:tcPr>
          <w:p w14:paraId="003872CE" w14:textId="77777777" w:rsidR="00FD657A" w:rsidRDefault="009272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Zdravotní omezení</w:t>
            </w:r>
          </w:p>
        </w:tc>
      </w:tr>
      <w:tr w:rsidR="00FD657A" w14:paraId="71A037A0" w14:textId="77777777">
        <w:trPr>
          <w:trHeight w:val="267"/>
        </w:trPr>
        <w:tc>
          <w:tcPr>
            <w:tcW w:w="1384" w:type="dxa"/>
            <w:vMerge/>
            <w:vAlign w:val="center"/>
          </w:tcPr>
          <w:p w14:paraId="588FF52C" w14:textId="77777777" w:rsidR="00FD657A" w:rsidRDefault="00FD6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25BD8F5B" w14:textId="77777777" w:rsidR="00FD657A" w:rsidRDefault="00FD6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14:paraId="74315119" w14:textId="77777777" w:rsidR="00FD657A" w:rsidRDefault="009272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ročník</w:t>
            </w:r>
          </w:p>
        </w:tc>
        <w:tc>
          <w:tcPr>
            <w:tcW w:w="1882" w:type="dxa"/>
            <w:vAlign w:val="center"/>
          </w:tcPr>
          <w:p w14:paraId="23013162" w14:textId="77777777" w:rsidR="00FD657A" w:rsidRDefault="009272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ročník a vyšší</w:t>
            </w:r>
          </w:p>
        </w:tc>
        <w:tc>
          <w:tcPr>
            <w:tcW w:w="2278" w:type="dxa"/>
            <w:vMerge/>
            <w:vAlign w:val="center"/>
          </w:tcPr>
          <w:p w14:paraId="7FD03578" w14:textId="77777777" w:rsidR="00FD657A" w:rsidRDefault="00FD6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FD657A" w14:paraId="15468851" w14:textId="77777777">
        <w:trPr>
          <w:trHeight w:val="267"/>
        </w:trPr>
        <w:tc>
          <w:tcPr>
            <w:tcW w:w="1384" w:type="dxa"/>
            <w:vAlign w:val="center"/>
          </w:tcPr>
          <w:p w14:paraId="3AC6E611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23-51-H/01</w:t>
            </w:r>
          </w:p>
        </w:tc>
        <w:tc>
          <w:tcPr>
            <w:tcW w:w="2417" w:type="dxa"/>
            <w:vAlign w:val="center"/>
          </w:tcPr>
          <w:p w14:paraId="7B74F968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Strojní mechanik</w:t>
            </w:r>
          </w:p>
        </w:tc>
        <w:tc>
          <w:tcPr>
            <w:tcW w:w="1881" w:type="dxa"/>
            <w:vAlign w:val="center"/>
          </w:tcPr>
          <w:p w14:paraId="519105D0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82" w:type="dxa"/>
            <w:vAlign w:val="center"/>
          </w:tcPr>
          <w:p w14:paraId="4398E04B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78" w:type="dxa"/>
            <w:vAlign w:val="center"/>
          </w:tcPr>
          <w:p w14:paraId="5AE16E04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1,3,7a,19</w:t>
            </w:r>
          </w:p>
        </w:tc>
      </w:tr>
      <w:tr w:rsidR="00FD657A" w14:paraId="78C60083" w14:textId="77777777">
        <w:trPr>
          <w:trHeight w:val="267"/>
        </w:trPr>
        <w:tc>
          <w:tcPr>
            <w:tcW w:w="1384" w:type="dxa"/>
            <w:vAlign w:val="center"/>
          </w:tcPr>
          <w:p w14:paraId="4DE83E60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29-54-H/01</w:t>
            </w:r>
          </w:p>
        </w:tc>
        <w:tc>
          <w:tcPr>
            <w:tcW w:w="2417" w:type="dxa"/>
            <w:vAlign w:val="center"/>
          </w:tcPr>
          <w:p w14:paraId="61ADD67E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Cukrář</w:t>
            </w:r>
          </w:p>
        </w:tc>
        <w:tc>
          <w:tcPr>
            <w:tcW w:w="1881" w:type="dxa"/>
            <w:vAlign w:val="center"/>
          </w:tcPr>
          <w:p w14:paraId="650A9602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82" w:type="dxa"/>
            <w:vAlign w:val="center"/>
          </w:tcPr>
          <w:p w14:paraId="6229BCB1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78" w:type="dxa"/>
            <w:vAlign w:val="center"/>
          </w:tcPr>
          <w:p w14:paraId="7638B6B4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4,9a,19,26</w:t>
            </w:r>
          </w:p>
        </w:tc>
      </w:tr>
      <w:tr w:rsidR="00FD657A" w14:paraId="0661A0AB" w14:textId="77777777">
        <w:trPr>
          <w:trHeight w:val="267"/>
        </w:trPr>
        <w:tc>
          <w:tcPr>
            <w:tcW w:w="1384" w:type="dxa"/>
            <w:vAlign w:val="center"/>
          </w:tcPr>
          <w:p w14:paraId="5F0E9BCC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65-51-H/01</w:t>
            </w:r>
          </w:p>
        </w:tc>
        <w:tc>
          <w:tcPr>
            <w:tcW w:w="2417" w:type="dxa"/>
            <w:vAlign w:val="center"/>
          </w:tcPr>
          <w:p w14:paraId="4E7BC4D7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Kuchař-číšník</w:t>
            </w:r>
          </w:p>
        </w:tc>
        <w:tc>
          <w:tcPr>
            <w:tcW w:w="1881" w:type="dxa"/>
            <w:vAlign w:val="center"/>
          </w:tcPr>
          <w:p w14:paraId="7D3B3CE0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82" w:type="dxa"/>
            <w:vAlign w:val="center"/>
          </w:tcPr>
          <w:p w14:paraId="649B563C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78" w:type="dxa"/>
            <w:vAlign w:val="center"/>
          </w:tcPr>
          <w:p w14:paraId="36481530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1,4,9a,19,26</w:t>
            </w:r>
          </w:p>
        </w:tc>
      </w:tr>
      <w:tr w:rsidR="00FD657A" w14:paraId="36A93350" w14:textId="77777777">
        <w:trPr>
          <w:trHeight w:val="267"/>
        </w:trPr>
        <w:tc>
          <w:tcPr>
            <w:tcW w:w="1384" w:type="dxa"/>
            <w:vAlign w:val="center"/>
          </w:tcPr>
          <w:p w14:paraId="6A5D6582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23-51-E/01</w:t>
            </w:r>
          </w:p>
        </w:tc>
        <w:tc>
          <w:tcPr>
            <w:tcW w:w="2417" w:type="dxa"/>
            <w:vAlign w:val="center"/>
          </w:tcPr>
          <w:p w14:paraId="1C0C1E92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Strojírenské práce</w:t>
            </w:r>
          </w:p>
        </w:tc>
        <w:tc>
          <w:tcPr>
            <w:tcW w:w="1881" w:type="dxa"/>
            <w:vAlign w:val="center"/>
          </w:tcPr>
          <w:p w14:paraId="17FD8190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82" w:type="dxa"/>
            <w:vAlign w:val="center"/>
          </w:tcPr>
          <w:p w14:paraId="73601F77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78" w:type="dxa"/>
            <w:vAlign w:val="center"/>
          </w:tcPr>
          <w:p w14:paraId="49A4143D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1,3,5,7a,19,20,21,22</w:t>
            </w:r>
          </w:p>
        </w:tc>
      </w:tr>
      <w:tr w:rsidR="00FD657A" w14:paraId="161772F8" w14:textId="77777777">
        <w:trPr>
          <w:trHeight w:val="251"/>
        </w:trPr>
        <w:tc>
          <w:tcPr>
            <w:tcW w:w="1384" w:type="dxa"/>
            <w:vAlign w:val="center"/>
          </w:tcPr>
          <w:p w14:paraId="14226506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36-67-E/01</w:t>
            </w:r>
          </w:p>
        </w:tc>
        <w:tc>
          <w:tcPr>
            <w:tcW w:w="2417" w:type="dxa"/>
            <w:vAlign w:val="center"/>
          </w:tcPr>
          <w:p w14:paraId="068A4C4F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Zednické práce</w:t>
            </w:r>
          </w:p>
        </w:tc>
        <w:tc>
          <w:tcPr>
            <w:tcW w:w="1881" w:type="dxa"/>
            <w:vAlign w:val="center"/>
          </w:tcPr>
          <w:p w14:paraId="029E1DDD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82" w:type="dxa"/>
            <w:vAlign w:val="center"/>
          </w:tcPr>
          <w:p w14:paraId="06EC4C61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78" w:type="dxa"/>
            <w:vAlign w:val="center"/>
          </w:tcPr>
          <w:p w14:paraId="323AD559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1,4,7a,</w:t>
            </w:r>
            <w:proofErr w:type="gramStart"/>
            <w:r>
              <w:rPr>
                <w:sz w:val="18"/>
                <w:szCs w:val="18"/>
              </w:rPr>
              <w:t>9a</w:t>
            </w:r>
            <w:proofErr w:type="gramEnd"/>
            <w:r>
              <w:rPr>
                <w:sz w:val="18"/>
                <w:szCs w:val="18"/>
              </w:rPr>
              <w:t>,11,19,21,22</w:t>
            </w:r>
          </w:p>
        </w:tc>
      </w:tr>
      <w:tr w:rsidR="00FD657A" w14:paraId="0DF3F773" w14:textId="77777777">
        <w:trPr>
          <w:trHeight w:val="308"/>
        </w:trPr>
        <w:tc>
          <w:tcPr>
            <w:tcW w:w="1384" w:type="dxa"/>
            <w:vAlign w:val="center"/>
          </w:tcPr>
          <w:p w14:paraId="1CA24ECD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65-51-E/01</w:t>
            </w:r>
          </w:p>
        </w:tc>
        <w:tc>
          <w:tcPr>
            <w:tcW w:w="2417" w:type="dxa"/>
            <w:vAlign w:val="center"/>
          </w:tcPr>
          <w:p w14:paraId="19B5E13C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Stravovací a ubytovací služby</w:t>
            </w:r>
          </w:p>
        </w:tc>
        <w:tc>
          <w:tcPr>
            <w:tcW w:w="1881" w:type="dxa"/>
            <w:vAlign w:val="center"/>
          </w:tcPr>
          <w:p w14:paraId="718E72F4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82" w:type="dxa"/>
            <w:vAlign w:val="center"/>
          </w:tcPr>
          <w:p w14:paraId="00DCED06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78" w:type="dxa"/>
            <w:vAlign w:val="center"/>
          </w:tcPr>
          <w:p w14:paraId="367DAA1D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7c,</w:t>
            </w:r>
            <w:proofErr w:type="gramStart"/>
            <w:r>
              <w:rPr>
                <w:sz w:val="18"/>
                <w:szCs w:val="18"/>
              </w:rPr>
              <w:t>8a</w:t>
            </w:r>
            <w:proofErr w:type="gramEnd"/>
            <w:r>
              <w:rPr>
                <w:sz w:val="18"/>
                <w:szCs w:val="18"/>
              </w:rPr>
              <w:t>,9a,19,26</w:t>
            </w:r>
          </w:p>
        </w:tc>
      </w:tr>
      <w:tr w:rsidR="00FD657A" w14:paraId="3084A8A4" w14:textId="77777777">
        <w:trPr>
          <w:trHeight w:val="267"/>
        </w:trPr>
        <w:tc>
          <w:tcPr>
            <w:tcW w:w="1384" w:type="dxa"/>
            <w:vAlign w:val="center"/>
          </w:tcPr>
          <w:p w14:paraId="6368BEB5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75-41-E/01</w:t>
            </w:r>
          </w:p>
        </w:tc>
        <w:tc>
          <w:tcPr>
            <w:tcW w:w="2417" w:type="dxa"/>
            <w:vAlign w:val="center"/>
          </w:tcPr>
          <w:p w14:paraId="44690DFB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Pečovatelské služby</w:t>
            </w:r>
          </w:p>
        </w:tc>
        <w:tc>
          <w:tcPr>
            <w:tcW w:w="1881" w:type="dxa"/>
            <w:vAlign w:val="center"/>
          </w:tcPr>
          <w:p w14:paraId="0D4A2310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82" w:type="dxa"/>
            <w:vAlign w:val="center"/>
          </w:tcPr>
          <w:p w14:paraId="702FDE39" w14:textId="77777777" w:rsidR="00FD657A" w:rsidRDefault="00927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78" w:type="dxa"/>
            <w:vAlign w:val="center"/>
          </w:tcPr>
          <w:p w14:paraId="776D207F" w14:textId="77777777" w:rsidR="00FD657A" w:rsidRDefault="0092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1,9a,23</w:t>
            </w:r>
          </w:p>
        </w:tc>
      </w:tr>
      <w:tr w:rsidR="00F36632" w14:paraId="61330E9B" w14:textId="77777777" w:rsidTr="00F36632">
        <w:trPr>
          <w:trHeight w:val="1606"/>
        </w:trPr>
        <w:tc>
          <w:tcPr>
            <w:tcW w:w="1384" w:type="dxa"/>
            <w:vAlign w:val="center"/>
          </w:tcPr>
          <w:p w14:paraId="260EAB6F" w14:textId="11248744" w:rsidR="00F36632" w:rsidRDefault="00F3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78-62-C/02</w:t>
            </w:r>
          </w:p>
        </w:tc>
        <w:tc>
          <w:tcPr>
            <w:tcW w:w="2417" w:type="dxa"/>
            <w:vAlign w:val="center"/>
          </w:tcPr>
          <w:p w14:paraId="1BD399AB" w14:textId="23DD0B01" w:rsidR="00F36632" w:rsidRDefault="00F3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Praktická škola dvouletá</w:t>
            </w:r>
          </w:p>
        </w:tc>
        <w:tc>
          <w:tcPr>
            <w:tcW w:w="6041" w:type="dxa"/>
            <w:gridSpan w:val="3"/>
            <w:vAlign w:val="center"/>
          </w:tcPr>
          <w:p w14:paraId="4C2FCF5D" w14:textId="66B47DA1" w:rsidR="00F36632" w:rsidRPr="00F36632" w:rsidRDefault="00F36632">
            <w:pPr>
              <w:rPr>
                <w:sz w:val="18"/>
                <w:szCs w:val="18"/>
              </w:rPr>
            </w:pPr>
            <w:r w:rsidRPr="00F36632">
              <w:rPr>
                <w:color w:val="000000"/>
                <w:sz w:val="18"/>
                <w:szCs w:val="18"/>
                <w:highlight w:val="white"/>
              </w:rPr>
              <w:t>Vzhledem k tomu, že ve studijním oboru se připravují žáci s různými druhy a s různou mírou závažnosti zdravotního postižení, způsobilost žáka ke vzdělávání musí být posouzena registrujícím praktickým lékařem pro děti a dorost ve spolupráci s lékařem příslušné odbornosti podle zdravotního postižení a školským poradenským zařízením. Na základě doporučení posuzujícího lékaře budou stanoveny požadavky na žáka, respektující jeho individuální zdravotní stav, zvláštnosti a specifické problémy vyplývající z povahy a stupně postižení.</w:t>
            </w:r>
          </w:p>
        </w:tc>
      </w:tr>
    </w:tbl>
    <w:p w14:paraId="6C4662D5" w14:textId="77777777" w:rsidR="00FD657A" w:rsidRDefault="00FD657A">
      <w:pPr>
        <w:rPr>
          <w:b/>
          <w:sz w:val="8"/>
          <w:szCs w:val="8"/>
        </w:rPr>
      </w:pPr>
    </w:p>
    <w:p w14:paraId="18922C26" w14:textId="77777777" w:rsidR="00FD657A" w:rsidRDefault="00FD6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6"/>
          <w:szCs w:val="16"/>
        </w:rPr>
      </w:pPr>
    </w:p>
    <w:p w14:paraId="3AB46853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 w:rsidRPr="00F36632">
        <w:rPr>
          <w:color w:val="000000"/>
          <w:sz w:val="18"/>
          <w:szCs w:val="18"/>
        </w:rPr>
        <w:t>Kategorizace:</w:t>
      </w:r>
    </w:p>
    <w:p w14:paraId="36130CAC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1.</w:t>
      </w:r>
      <w:r w:rsidRPr="00F36632">
        <w:rPr>
          <w:color w:val="000000"/>
          <w:sz w:val="18"/>
          <w:szCs w:val="18"/>
        </w:rPr>
        <w:t xml:space="preserve"> Prognosticky závažná onemocnění podpůrného a pohybového aparátu znemožňující zátěž páteře v případě, že je nezbytné postupovat podle § 67 odst. 2 věta druhá školského zákona.</w:t>
      </w:r>
    </w:p>
    <w:p w14:paraId="13D9F821" w14:textId="77777777" w:rsidR="00FD657A" w:rsidRPr="00F36632" w:rsidRDefault="00FD6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b/>
          <w:color w:val="000000"/>
          <w:sz w:val="18"/>
          <w:szCs w:val="18"/>
        </w:rPr>
      </w:pPr>
    </w:p>
    <w:p w14:paraId="2C10D511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3.</w:t>
      </w:r>
      <w:r w:rsidRPr="00F36632">
        <w:rPr>
          <w:color w:val="000000"/>
          <w:sz w:val="18"/>
          <w:szCs w:val="18"/>
        </w:rPr>
        <w:t xml:space="preserve"> Prognosticky závažná onemocnění horních končetin znemožňující jemnou motoriku a koordinaci pohybů v případě, že je nezbytné postupovat podle § 67 odst. 2 věta druhá školského zákona.</w:t>
      </w:r>
    </w:p>
    <w:p w14:paraId="1CCAC72B" w14:textId="77777777" w:rsidR="00FD657A" w:rsidRPr="00F36632" w:rsidRDefault="00FD6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</w:p>
    <w:p w14:paraId="2A4775DE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76" w:lineRule="auto"/>
        <w:jc w:val="both"/>
        <w:rPr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4.</w:t>
      </w:r>
      <w:r w:rsidRPr="00F36632">
        <w:rPr>
          <w:color w:val="000000"/>
          <w:sz w:val="18"/>
          <w:szCs w:val="18"/>
        </w:rPr>
        <w:t xml:space="preserve"> Prognosticky závažná onemocnění omezující funkce horních nebo dolních končetin (poruchy hrubé i jemné motoriky) v případě, že je nezbytné postupovat podle § 67 odst. 2 věta druhá školského zákona.</w:t>
      </w:r>
    </w:p>
    <w:p w14:paraId="128196CD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76" w:lineRule="auto"/>
        <w:jc w:val="both"/>
        <w:rPr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5.</w:t>
      </w:r>
      <w:r w:rsidRPr="00F36632">
        <w:rPr>
          <w:color w:val="000000"/>
          <w:sz w:val="18"/>
          <w:szCs w:val="18"/>
        </w:rPr>
        <w:t xml:space="preserve"> Prognosticky závažná onemocnění cév a nervů horních končetin, vylučující činnosti v riziku vibrací v případě, že je nezbytné postupovat podle § 67 odst. 2 věta druhá školského zákona.</w:t>
      </w:r>
    </w:p>
    <w:p w14:paraId="1082DF16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7.</w:t>
      </w:r>
      <w:r w:rsidRPr="00F36632">
        <w:rPr>
          <w:color w:val="000000"/>
          <w:sz w:val="18"/>
          <w:szCs w:val="18"/>
        </w:rPr>
        <w:t xml:space="preserve"> Prognosticky závažná chronická onemocnění kůže a spojivek včetně onemocnění alergických, pokud</w:t>
      </w:r>
    </w:p>
    <w:p w14:paraId="07B513B5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a)</w:t>
      </w:r>
      <w:r w:rsidRPr="00F36632">
        <w:rPr>
          <w:color w:val="000000"/>
          <w:sz w:val="18"/>
          <w:szCs w:val="18"/>
        </w:rPr>
        <w:t xml:space="preserve"> při praktickém vyučování nelze vyloučit silné znečištění kůže nebo kontakt s alergizujícími látkami,</w:t>
      </w:r>
    </w:p>
    <w:p w14:paraId="48C1A985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c)</w:t>
      </w:r>
      <w:r w:rsidRPr="00F36632">
        <w:rPr>
          <w:color w:val="000000"/>
          <w:sz w:val="18"/>
          <w:szCs w:val="18"/>
        </w:rPr>
        <w:t xml:space="preserve"> při praktickém vyučování nelze vyloučit styk s potravinami, a je nezbytné postupovat podle § 67 odst. 2 věta druhá školského zákona.</w:t>
      </w:r>
      <w:r w:rsidRPr="00F36632">
        <w:rPr>
          <w:color w:val="000000"/>
          <w:sz w:val="18"/>
          <w:szCs w:val="18"/>
        </w:rPr>
        <w:br/>
      </w:r>
    </w:p>
    <w:p w14:paraId="489137F2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8.</w:t>
      </w:r>
      <w:r w:rsidRPr="00F36632">
        <w:rPr>
          <w:color w:val="000000"/>
          <w:sz w:val="18"/>
          <w:szCs w:val="18"/>
        </w:rPr>
        <w:t xml:space="preserve"> Prognosticky závažná chronická onemocnění dýchacích cest a plic včetně onemocnění alergických, pokud</w:t>
      </w:r>
    </w:p>
    <w:p w14:paraId="061C1696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76" w:lineRule="auto"/>
        <w:jc w:val="both"/>
        <w:rPr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a)</w:t>
      </w:r>
      <w:r w:rsidRPr="00F36632">
        <w:rPr>
          <w:color w:val="000000"/>
          <w:sz w:val="18"/>
          <w:szCs w:val="18"/>
        </w:rPr>
        <w:t xml:space="preserve"> nelze při praktickém vyučování vyloučit dráždivé a alergizující látky, činnosti ve vysoce prašném prostředí.</w:t>
      </w:r>
    </w:p>
    <w:p w14:paraId="7E9B1988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9.</w:t>
      </w:r>
      <w:r w:rsidRPr="00F36632">
        <w:rPr>
          <w:color w:val="000000"/>
          <w:sz w:val="18"/>
          <w:szCs w:val="18"/>
        </w:rPr>
        <w:t xml:space="preserve"> Přecitlivělost na</w:t>
      </w:r>
    </w:p>
    <w:p w14:paraId="1F2F7A95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a)</w:t>
      </w:r>
      <w:r w:rsidRPr="00F36632">
        <w:rPr>
          <w:color w:val="000000"/>
          <w:sz w:val="18"/>
          <w:szCs w:val="18"/>
        </w:rPr>
        <w:t xml:space="preserve"> alergizující látky používané při praktickém vyučování.</w:t>
      </w:r>
      <w:r w:rsidRPr="00F36632">
        <w:rPr>
          <w:color w:val="000000"/>
          <w:sz w:val="18"/>
          <w:szCs w:val="18"/>
        </w:rPr>
        <w:br/>
      </w:r>
    </w:p>
    <w:p w14:paraId="7B7E697C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11.</w:t>
      </w:r>
      <w:r w:rsidRPr="00F36632">
        <w:rPr>
          <w:color w:val="000000"/>
          <w:sz w:val="18"/>
          <w:szCs w:val="18"/>
        </w:rPr>
        <w:t xml:space="preserve"> Prognosticky závažné nemoci srdce a oběhové soustavy vylučující středně velkou zátěž v případě, že je nezbytné postupovat podle § 67 odst. 2 věta druhá školského zákona.</w:t>
      </w:r>
      <w:r w:rsidRPr="00F36632">
        <w:rPr>
          <w:color w:val="000000"/>
          <w:sz w:val="18"/>
          <w:szCs w:val="18"/>
        </w:rPr>
        <w:br/>
      </w:r>
    </w:p>
    <w:p w14:paraId="3BA1C590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19.</w:t>
      </w:r>
      <w:r w:rsidRPr="00F36632">
        <w:rPr>
          <w:color w:val="000000"/>
          <w:sz w:val="18"/>
          <w:szCs w:val="18"/>
        </w:rPr>
        <w:t xml:space="preserve"> Prognosticky závažné a nekompenzované formy epilepsie a epileptických syndromů a kolapsové stavy, týká se činností ve výškách, s motorovou mechanizací, s rotujícími stroji, nářadím nebo zařízením nebo činností, při kterých nelze vyloučit ohrožení zdraví, a je nezbytné postupovat podle § 67 odst. 2 věta druhá školského zákona.</w:t>
      </w:r>
      <w:r w:rsidRPr="00F36632">
        <w:rPr>
          <w:color w:val="000000"/>
          <w:sz w:val="18"/>
          <w:szCs w:val="18"/>
        </w:rPr>
        <w:br/>
      </w:r>
    </w:p>
    <w:p w14:paraId="4825078B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20.</w:t>
      </w:r>
      <w:r w:rsidRPr="00F36632">
        <w:rPr>
          <w:color w:val="000000"/>
          <w:sz w:val="18"/>
          <w:szCs w:val="18"/>
        </w:rPr>
        <w:t xml:space="preserve"> Závažné poruchy sluchu v případě činností v riziku hluku v případě, že je nezbytné postupovat podle § 67 odst. 2 věta druhá školského zákona.</w:t>
      </w:r>
      <w:r w:rsidRPr="00F36632">
        <w:rPr>
          <w:color w:val="000000"/>
          <w:sz w:val="18"/>
          <w:szCs w:val="18"/>
        </w:rPr>
        <w:br/>
      </w:r>
    </w:p>
    <w:p w14:paraId="4F9F3E5B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21.</w:t>
      </w:r>
      <w:r w:rsidRPr="00F36632">
        <w:rPr>
          <w:color w:val="000000"/>
          <w:sz w:val="18"/>
          <w:szCs w:val="18"/>
        </w:rPr>
        <w:t xml:space="preserve"> Prognosticky závažné nemoci oka znemožňující zvýšenou fyzickou zátěž a manipulaci s břemeny v případě, zde je nezbytné postupovat podle § 67 odst. 2 věta druhá školského zákona.</w:t>
      </w:r>
    </w:p>
    <w:p w14:paraId="2B280140" w14:textId="77777777" w:rsidR="00FD657A" w:rsidRPr="00F36632" w:rsidRDefault="00FD6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18"/>
          <w:szCs w:val="18"/>
        </w:rPr>
      </w:pPr>
    </w:p>
    <w:p w14:paraId="38C4C613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22.</w:t>
      </w:r>
      <w:r w:rsidRPr="00F36632">
        <w:rPr>
          <w:color w:val="000000"/>
          <w:sz w:val="18"/>
          <w:szCs w:val="18"/>
        </w:rPr>
        <w:t xml:space="preserve"> Prognosticky závažné poruchy vidění, zorného pole nebo barvocitu v případě činností s vysokými nároky na zrak nebo činností vyžadujících prostorové vidění v případě, že je nezbytné postupovat podle § 67 odst. 2 věta druhá školského zákona.</w:t>
      </w:r>
      <w:r w:rsidRPr="00F36632">
        <w:rPr>
          <w:color w:val="000000"/>
          <w:sz w:val="18"/>
          <w:szCs w:val="18"/>
        </w:rPr>
        <w:br/>
      </w:r>
    </w:p>
    <w:p w14:paraId="6FEF87DD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23.</w:t>
      </w:r>
      <w:r w:rsidRPr="00F36632">
        <w:rPr>
          <w:color w:val="000000"/>
          <w:sz w:val="18"/>
          <w:szCs w:val="18"/>
        </w:rPr>
        <w:t xml:space="preserve"> Závažné duševní nemoci a poruchy chování.</w:t>
      </w:r>
      <w:r w:rsidRPr="00F36632">
        <w:rPr>
          <w:color w:val="000000"/>
          <w:sz w:val="18"/>
          <w:szCs w:val="18"/>
        </w:rPr>
        <w:br/>
      </w:r>
    </w:p>
    <w:p w14:paraId="533C15A1" w14:textId="77777777" w:rsidR="00FD657A" w:rsidRPr="00F36632" w:rsidRDefault="009272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18"/>
          <w:szCs w:val="18"/>
        </w:rPr>
      </w:pPr>
      <w:r w:rsidRPr="00F36632">
        <w:rPr>
          <w:b/>
          <w:color w:val="000000"/>
          <w:sz w:val="18"/>
          <w:szCs w:val="18"/>
        </w:rPr>
        <w:t>26.</w:t>
      </w:r>
      <w:r w:rsidRPr="00F36632">
        <w:rPr>
          <w:color w:val="000000"/>
          <w:sz w:val="18"/>
          <w:szCs w:val="18"/>
        </w:rPr>
        <w:t xml:space="preserve"> Nemoci vylučující vydání zdravotního průkazu v případě, že je nezbytné postupovat podle § 67 odst. 2 věta druhá školského zákona.</w:t>
      </w:r>
    </w:p>
    <w:p w14:paraId="4316B481" w14:textId="77777777" w:rsidR="00FD657A" w:rsidRDefault="0092722D">
      <w:pPr>
        <w:spacing w:line="276" w:lineRule="auto"/>
        <w:rPr>
          <w:sz w:val="16"/>
          <w:szCs w:val="16"/>
        </w:rPr>
      </w:pPr>
      <w:r w:rsidRPr="00F36632">
        <w:rPr>
          <w:sz w:val="18"/>
          <w:szCs w:val="18"/>
        </w:rPr>
        <w:br/>
      </w:r>
      <w:r>
        <w:rPr>
          <w:sz w:val="16"/>
          <w:szCs w:val="16"/>
        </w:rPr>
        <w:t xml:space="preserve">§ 67 odst. 2 věta školského zákona:  </w:t>
      </w:r>
    </w:p>
    <w:p w14:paraId="59178BBC" w14:textId="77777777" w:rsidR="00FD657A" w:rsidRDefault="0092722D">
      <w:pPr>
        <w:spacing w:after="80" w:line="276" w:lineRule="auto"/>
        <w:rPr>
          <w:sz w:val="16"/>
          <w:szCs w:val="16"/>
        </w:rPr>
      </w:pPr>
      <w:r>
        <w:rPr>
          <w:b/>
          <w:sz w:val="16"/>
          <w:szCs w:val="16"/>
        </w:rPr>
        <w:t>Žák nemůže být uvolněn z předmětu rozhodujícího pro odborné zaměření absolventa.</w:t>
      </w:r>
    </w:p>
    <w:sectPr w:rsidR="00FD657A" w:rsidSect="00E56D59">
      <w:headerReference w:type="default" r:id="rId7"/>
      <w:pgSz w:w="12240" w:h="15840" w:code="1"/>
      <w:pgMar w:top="567" w:right="907" w:bottom="284" w:left="1134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B366" w14:textId="77777777" w:rsidR="00E56D59" w:rsidRDefault="00E56D59">
      <w:r>
        <w:separator/>
      </w:r>
    </w:p>
  </w:endnote>
  <w:endnote w:type="continuationSeparator" w:id="0">
    <w:p w14:paraId="415B9D13" w14:textId="77777777" w:rsidR="00E56D59" w:rsidRDefault="00E5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8C17" w14:textId="77777777" w:rsidR="00E56D59" w:rsidRDefault="00E56D59">
      <w:r>
        <w:separator/>
      </w:r>
    </w:p>
  </w:footnote>
  <w:footnote w:type="continuationSeparator" w:id="0">
    <w:p w14:paraId="38C9C42E" w14:textId="77777777" w:rsidR="00E56D59" w:rsidRDefault="00E5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EC1E" w14:textId="77777777" w:rsidR="00FD657A" w:rsidRDefault="00FD65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6"/>
        <w:szCs w:val="16"/>
      </w:rPr>
    </w:pPr>
  </w:p>
  <w:p w14:paraId="1849DDBE" w14:textId="77777777" w:rsidR="00FD657A" w:rsidRDefault="00FD6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EC8"/>
    <w:multiLevelType w:val="multilevel"/>
    <w:tmpl w:val="D1D8D4B4"/>
    <w:lvl w:ilvl="0">
      <w:start w:val="1"/>
      <w:numFmt w:val="bullet"/>
      <w:lvlText w:val="☞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☞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3575AE"/>
    <w:multiLevelType w:val="multilevel"/>
    <w:tmpl w:val="CB74B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2C9B"/>
    <w:multiLevelType w:val="multilevel"/>
    <w:tmpl w:val="C2748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0141CB"/>
    <w:multiLevelType w:val="multilevel"/>
    <w:tmpl w:val="7A743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5197"/>
    <w:multiLevelType w:val="multilevel"/>
    <w:tmpl w:val="BC2C6EA4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3431BA"/>
    <w:multiLevelType w:val="multilevel"/>
    <w:tmpl w:val="EAAC4CD0"/>
    <w:lvl w:ilvl="0">
      <w:start w:val="1"/>
      <w:numFmt w:val="bullet"/>
      <w:lvlText w:val="☞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D00E4E"/>
    <w:multiLevelType w:val="multilevel"/>
    <w:tmpl w:val="E8F82B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9E121F"/>
    <w:multiLevelType w:val="multilevel"/>
    <w:tmpl w:val="C6E86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E7A2A"/>
    <w:multiLevelType w:val="multilevel"/>
    <w:tmpl w:val="C93C91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C6143"/>
    <w:multiLevelType w:val="multilevel"/>
    <w:tmpl w:val="13EED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14667">
    <w:abstractNumId w:val="5"/>
  </w:num>
  <w:num w:numId="2" w16cid:durableId="789663284">
    <w:abstractNumId w:val="4"/>
  </w:num>
  <w:num w:numId="3" w16cid:durableId="1009793247">
    <w:abstractNumId w:val="0"/>
  </w:num>
  <w:num w:numId="4" w16cid:durableId="1779525713">
    <w:abstractNumId w:val="8"/>
  </w:num>
  <w:num w:numId="5" w16cid:durableId="1476338926">
    <w:abstractNumId w:val="7"/>
  </w:num>
  <w:num w:numId="6" w16cid:durableId="1231112583">
    <w:abstractNumId w:val="3"/>
  </w:num>
  <w:num w:numId="7" w16cid:durableId="816533430">
    <w:abstractNumId w:val="9"/>
  </w:num>
  <w:num w:numId="8" w16cid:durableId="1156532732">
    <w:abstractNumId w:val="2"/>
  </w:num>
  <w:num w:numId="9" w16cid:durableId="1425152233">
    <w:abstractNumId w:val="1"/>
  </w:num>
  <w:num w:numId="10" w16cid:durableId="843516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7A"/>
    <w:rsid w:val="00174622"/>
    <w:rsid w:val="003E0C14"/>
    <w:rsid w:val="0044714C"/>
    <w:rsid w:val="008D6550"/>
    <w:rsid w:val="0092722D"/>
    <w:rsid w:val="00AE7DF3"/>
    <w:rsid w:val="00CE32C3"/>
    <w:rsid w:val="00D939EF"/>
    <w:rsid w:val="00E03060"/>
    <w:rsid w:val="00E56D59"/>
    <w:rsid w:val="00F36632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CE3F"/>
  <w15:docId w15:val="{682AE0D9-A38D-48BE-8A34-D99B871B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outlineLvl w:val="3"/>
    </w:pPr>
    <w:rPr>
      <w:sz w:val="28"/>
      <w:szCs w:val="28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36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632"/>
  </w:style>
  <w:style w:type="paragraph" w:styleId="Zpat">
    <w:name w:val="footer"/>
    <w:basedOn w:val="Normln"/>
    <w:link w:val="ZpatChar"/>
    <w:uiPriority w:val="99"/>
    <w:unhideWhenUsed/>
    <w:rsid w:val="00F36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Čížková</dc:creator>
  <cp:lastModifiedBy>Jiřina Čížková</cp:lastModifiedBy>
  <cp:revision>7</cp:revision>
  <dcterms:created xsi:type="dcterms:W3CDTF">2023-01-26T09:33:00Z</dcterms:created>
  <dcterms:modified xsi:type="dcterms:W3CDTF">2024-01-24T05:29:00Z</dcterms:modified>
</cp:coreProperties>
</file>